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2D" w:rsidRDefault="00CA542D" w:rsidP="00CA542D">
      <w:pPr>
        <w:pStyle w:val="ConsPlusTitle"/>
        <w:jc w:val="center"/>
        <w:outlineLvl w:val="1"/>
      </w:pPr>
      <w:r>
        <w:t xml:space="preserve">Глава 8. </w:t>
      </w:r>
      <w:bookmarkStart w:id="0" w:name="_GoBack"/>
      <w:r>
        <w:t>КРИТЕРИИ ДОСТУПНОСТИ И КАЧЕСТВА МЕДИЦИНСКОЙ ПОМОЩИ</w:t>
      </w:r>
      <w:bookmarkEnd w:id="0"/>
    </w:p>
    <w:p w:rsidR="00CA542D" w:rsidRDefault="00CA542D" w:rsidP="00CA542D">
      <w:pPr>
        <w:pStyle w:val="ConsPlusNormal"/>
        <w:jc w:val="both"/>
      </w:pPr>
    </w:p>
    <w:p w:rsidR="00CA542D" w:rsidRDefault="00CA542D" w:rsidP="00CA542D">
      <w:pPr>
        <w:pStyle w:val="ConsPlusNormal"/>
        <w:ind w:firstLine="540"/>
        <w:jc w:val="both"/>
      </w:pPr>
      <w:r>
        <w:t xml:space="preserve">54. Критерии качества и доступности медицинской помощи, а также установленные их целевые значения на 2025-2027 года указаны в </w:t>
      </w:r>
      <w:hyperlink w:anchor="Par1172" w:tooltip="Таблица N 5" w:history="1">
        <w:r>
          <w:rPr>
            <w:color w:val="0000FF"/>
          </w:rPr>
          <w:t>таблице N 5</w:t>
        </w:r>
      </w:hyperlink>
      <w:r>
        <w:t>.</w:t>
      </w:r>
    </w:p>
    <w:p w:rsidR="00CA542D" w:rsidRDefault="00CA542D" w:rsidP="00CA542D">
      <w:pPr>
        <w:pStyle w:val="ConsPlusNormal"/>
        <w:jc w:val="both"/>
      </w:pPr>
    </w:p>
    <w:p w:rsidR="00CA542D" w:rsidRDefault="00CA542D" w:rsidP="00CA542D">
      <w:pPr>
        <w:pStyle w:val="ConsPlusNormal"/>
        <w:jc w:val="right"/>
        <w:outlineLvl w:val="2"/>
      </w:pPr>
      <w:bookmarkStart w:id="1" w:name="Par1172"/>
      <w:bookmarkEnd w:id="1"/>
      <w:r>
        <w:t>Таблица N 5</w:t>
      </w:r>
    </w:p>
    <w:p w:rsidR="00CA542D" w:rsidRDefault="00CA542D" w:rsidP="00CA54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850"/>
        <w:gridCol w:w="1134"/>
        <w:gridCol w:w="1134"/>
        <w:gridCol w:w="1130"/>
      </w:tblGrid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Значения по итогам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Значения по итогам 2025 года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Значения по итогам 2026 года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</w:t>
            </w:r>
          </w:p>
        </w:tc>
      </w:tr>
      <w:tr w:rsidR="00CA542D" w:rsidTr="008E1548"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  <w:outlineLvl w:val="3"/>
            </w:pPr>
            <w:r>
              <w:t>Критерии качества медицинской помощи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5,9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44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25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пациентов со злокачественными новообразованиями, взятых под диспансерное наблюдение, в общем количестве пациентов со </w:t>
            </w:r>
            <w:r>
              <w:lastRenderedPageBreak/>
              <w:t>злокачественными новообразованиями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69,8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49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18,1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31,1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</w:t>
            </w:r>
            <w:r>
              <w:lastRenderedPageBreak/>
              <w:t xml:space="preserve">региональные сосудистые центры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настоящей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44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Охват диспансерным наблюдением граждан, состоящих на учете в медицинской организации с диагнозом "бронхиальная астма",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85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легких",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55,4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57,4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80,0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болезнь",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75,0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Охват диспансерным наблюдением граждан, состоящих на учете в </w:t>
            </w:r>
            <w:r>
              <w:lastRenderedPageBreak/>
              <w:t>медицинской организации с диагнозом "сахарный диабет", процентов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57,6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-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19,8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13,6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70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(муж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ж</w:t>
            </w:r>
            <w:proofErr w:type="gramEnd"/>
            <w:r>
              <w:t>ен.)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30/30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32/32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35/35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22,5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лиц старше 65 лет, которым проведена </w:t>
            </w:r>
            <w:proofErr w:type="spellStart"/>
            <w:r>
              <w:t>противопневмококковая</w:t>
            </w:r>
            <w:proofErr w:type="spellEnd"/>
            <w:r>
              <w:t xml:space="preserve"> вакцинация (13-валентной и/или 23-валентной вакциной)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50</w:t>
            </w:r>
          </w:p>
        </w:tc>
      </w:tr>
      <w:tr w:rsidR="00CA542D" w:rsidTr="008E1548"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  <w:outlineLvl w:val="3"/>
            </w:pPr>
            <w:r>
              <w:t>Критерии доступности медицинской помощи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Удовлетворенность населения доступностью медицинской помощи, в том числе городского и сельского населения (процентов из числа опрошенных)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расходов на оказание медицинской помощи в условиях дневных стационаров в общих расходах на настоящую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9,0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настоящую Программу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2,7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пациентов, получивших специализированную медицинскую помощь в стационарных условиях медицинских организаций,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настоящей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0,16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 xml:space="preserve">Доля посещений выездной патронажной службой на дому для оказания паллиативной медицинской </w:t>
            </w:r>
            <w:r>
              <w:lastRenderedPageBreak/>
              <w:t>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2,7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Число пациентов, которым оказана паллиативная медицинская помощь по месту их фактического пребывания за пределами Костромской области, на территории которой указанные пациенты зарегистрированы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300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Число пациентов, зарегистрированных на территории Костромской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50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80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60</w:t>
            </w:r>
          </w:p>
        </w:tc>
      </w:tr>
      <w:tr w:rsidR="00CA542D" w:rsidTr="008E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both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2D" w:rsidRDefault="00CA542D" w:rsidP="008E1548">
            <w:pPr>
              <w:pStyle w:val="ConsPlusNormal"/>
              <w:jc w:val="center"/>
            </w:pPr>
            <w:r>
              <w:t>100,0</w:t>
            </w:r>
          </w:p>
        </w:tc>
      </w:tr>
    </w:tbl>
    <w:p w:rsidR="00FF1C1D" w:rsidRDefault="00FF1C1D"/>
    <w:sectPr w:rsidR="00FF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44"/>
    <w:rsid w:val="00AF0E44"/>
    <w:rsid w:val="00CA542D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5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5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</cp:revision>
  <dcterms:created xsi:type="dcterms:W3CDTF">2025-01-22T08:22:00Z</dcterms:created>
  <dcterms:modified xsi:type="dcterms:W3CDTF">2025-01-22T08:22:00Z</dcterms:modified>
</cp:coreProperties>
</file>